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37 vom 22. Oktober 2025</w:t>
      </w:r>
    </w:p>
    <w:p>
      <w:r>
        <w:t>GR Gerichte, 2025-10-22, DE</w:t>
      </w:r>
    </w:p>
    <w:p>
      <w:r>
        <w:rPr>
          <w:b/>
        </w:rPr>
        <w:t xml:space="preserve">Quelle: </w:t>
      </w:r>
      <w:r>
        <w:t>https://mcp.opencaselaw.ch/entscheid/gr_gerichte_ZR2 2025 37</w:t>
      </w:r>
    </w:p>
    <w:p>
      <w:r>
        <w:t>FR: GR_GERICHTE ZR2 2025 37 du 22 octobre 2025</w:t>
      </w:r>
    </w:p>
    <w:p>
      <w:r>
        <w:t>IT: GR_GERICHTE ZR2 2025 37 del 22 ottobre 2025</w:t>
      </w:r>
    </w:p>
    <w:p>
      <w:pPr>
        <w:pStyle w:val="Heading2"/>
      </w:pPr>
      <w:r>
        <w:t>Regeste</w:t>
      </w:r>
    </w:p>
    <w:p>
      <w:r>
        <w:t>Forderung | OR 275-318 Pacht/Leihe/Darlehen</w:t>
      </w:r>
    </w:p>
    <w:p>
      <w:pPr>
        <w:pStyle w:val="Heading2"/>
      </w:pPr>
      <w:r>
        <w:t>Erwägungen</w:t>
      </w:r>
    </w:p>
    <w:p>
      <w:r>
        <w:rPr>
          <w:b/>
        </w:rPr>
        <w:t>E. 6</w:t>
      </w:r>
    </w:p>
    <w:p>
      <w:r>
        <w:t>/ 11 anstehende Replik) äussern könne und der Aktenschluss in einen dritten Schriften- wechsel (bzw. einen dritten Parteivortrag in der Hauptverhandlung) verschoben würde. Dieser Nachteil könne nicht wiedergutgemacht werden. Würde die "Klage Stufe 2" von der Rechtsmittelinstanz als unzulässig qualifiziert, könne auch der fol- genden Klageantwort keine Bedeutung zukommen. Würde die "Klage Stufe 2" als zweiter Vortrag bzw. Replik qualifiziert, müsse die anstehende Klageantwort eben- falls als zweiter Vortrag bzw. Duplik qualifiziert werden. Dies hätte zur Folge, dass sich die Beklagten nur einmal umfassend zu Stufe 2 hätten äussern dürfen, war doch ihre erste Klageantwort auf Stufe 1 beschränkt (act. A.1, II.C.5.1). 1.3.2. Der Beschwerdegegner wendet ein, die Rechtsmittelinstanz könne eine drei- malige Äusserungsmöglichkeit korrigieren, beispielsweise indem sie den Beru- fungsentscheid nur auf Behauptungen stütze, welche die Parteien bis zum korrekten Zeitpunkt des Aktenschlusses aufgestellt hätten. Es liege daher kein nicht leicht wie- dergutzumachender Nachteil rechtlicher Natur vor. Der zeitliche und finanzielle Auf- wand qualifiziere unter keinem Titel als drohender, nicht leicht wiedergutzumachen- der Nachteil; die Kosten würden der unterliegenden Partei auferlegt und auf Antrag erhöht werden können, etwa mit Blick auf die Komplexität des Falls, des Streitwerts oder zusätzlicher Rechtsschriften. Entscheide darüber, welche Eingaben, Behaup- tungen und Rechtsmittel zu berücksichtigen sind, würden im Rechtsmittelverfahren überprüft werden können. Die Beschwerdeführer würden einen tatsächlichen Nach- teil von der erforderlichen Intensität nicht substantiieren und belegen (act. A.2, IV.29-31). 1.3.3. Die Beschwerdeführer erklären, es handle sich bei der angefochtenen Ver- fügung nicht bloss um eine einfache Fristansetzung. Die Verfügung beinhalte die Qualifikation der Eingabe vom 30. Juni 2025 als Klage, was zur Konsequenz habe, dass sich der Beschwerdegegner dreimal zur Klagestufe 2 werde äussern können. Der Beschwerdegegner verkenne, dass die von ihm behauptete Korrektur im Rechtsmittelverfahren eine Qualifikation seiner Eingabe als Replik bedeuten würde, welcher nur die Duplik folgen könne. Diesfalls würde die Rechtsmittelinstanz nur auf einen umfassenden Sachvortrag der Beschwerdeführer abstützen, obwohl auch ih- nen zwei Sachvorträge zustünden. Ferner würde damit ein Prozessabschnitt – die Klageantwort zu Stufe 2 der massgeblichen Klage vom 9. Juli 2020 – übersprungen, was sich nicht mehr korrigieren liesse. Wenn schon müsse der Schriftenwechsel ab Klageantwort wiederholt werden, was – wenn überhaupt zulässig respektive mög- lich – nicht zumutbar sei. Die Prozessökonomie gebiete es, bereits im jetzigen Sta- dium (und nicht erst im Rechtsmittelverfahren) zu klären, ob einer klagenden Partei in der Klagestufe 2 "wiederum zwei Rechtsschriften" zustehen oder nicht. Es stehe</w:t>
      </w:r>
    </w:p>
    <w:p>
      <w:r>
        <w:rPr>
          <w:b/>
        </w:rPr>
        <w:t>E. 7</w:t>
      </w:r>
    </w:p>
    <w:p>
      <w:r>
        <w:t>/ 11 ausser Frage, dass drei statt zwei Sachvorträge, teils nach Aktenschluss, ein Ver- fahren verlängern und verteuern würden. Die erhebliche Verteuerung eines Verfah- ren könne einen nicht leicht wiedergutzumachenden Nachteil darstellen, unabhän- gig davon, ob die Mehrkosten letztlich allenfalls von der Gegenpartei getragen wer- den müssen (act. A.3, II.B.2.3). 1.4.1. In tatsächlicher Hinsicht ist vorab festzustellen, dass der Beschwerdegegner in der Eingabe vom 30. Juni 2025 das bisher unbezifferte bzw. unter Angabe eines Mindeststreitwerts gestellte Rechtsbegehren 2 aus seiner Klage vom 9. Juli 2020 bezifferte. Das ursprüngliche Rechtsbegehren lautete auf Bezahlung eines Mindest- werts von CHF 4'200'000.00 zzgl. Verzugszins, das nachträglich bezifferte Rechts- begehren auf Bezahlung von CHF 13'281'603.30, zzgl. Verzugszins (act. B.1; act. B.6). Zudem formulierte er einen Eventualantrag (Rechtsbegehren 2) und ein weiteres Rechtsbegehren (Rechtsbegehren 3). Die bisherigen Rechtsbegehren 3 bis 4 nummerierte er neu als Rechtsbegehren 4 bis 5, ohne sie inhaltlich zu verän- dern. Sodann folgen Ausführungen und Beweisofferten. Mit Verfügung vom 3. Juli 2025 leitete der Vorsitzende wie in lit. K dargelegt die Eingabe an die Beschwerde- führer weiter und erklärte, "die Klage (Stufe 2) betreffend Forderung" sei fristgerecht eingereicht worden und die B._____ und A._____ erhielten in der Beilage "die Klage" zur Einreichung der "Klageantwort". In der angefochtenen Verfügung vom 15. August 2025 führt der Vorsitzende sodann aus, die Bezifferung, die Zusammen- fassung und Aktualisierung sowie die Ausführungen im Zusammenhang mit der Be- rechnung des Anspruchs – mithin die gesamte Eingabe vom 30. Juni 2025 – seien gesetzeskonform und es sei nichts gegen sie einzuwenden. 1.4.2. Mit der Qualifikation der Eingabe als gesetzeskonform hat der Vorsitzende implizit festgehalten, dass auch die gemäss den Beschwerdeführern über die Bezif- ferung hinausgehenden Ausführungen zulässig und damit grundsätzlich beachtlich sind. Es handelt sich dabei um eine vorläufige Beurteilung, die als Empfehlung an die für den Endentscheid zuständige Kammer zu verstehen ist. Denn Parteieinga- ben – auch unzulässige – sind grundsätzlich zu den Akten zu nehmen und der Ge- genpartei zur Wahrung des rechtlichen Gehörs zuzustellen (Art. 222 ZPO). Welche Eingaben, Behauptungen und Beweismittel dem Entscheid zugrunde zu legen sind (Art. 229 ZPO) entscheidet erst die zuständige Kammer im Endentscheid – oder die Rechtsmittelinstanz im Rechtsmittelentscheid. Zu prüfen ist vorliegend, ob durch die vorläufige Beurteilung rechtliche und tatsächliche Nachteile verursacht werden, die durch den Endentscheid oder ein Rechtsmittelverfahren nicht leicht wiedergutge- macht werden können.</w:t>
      </w:r>
    </w:p>
    <w:p>
      <w:r>
        <w:rPr>
          <w:b/>
        </w:rPr>
        <w:t>E. 8</w:t>
      </w:r>
    </w:p>
    <w:p>
      <w:r>
        <w:t>/ 11 1.4.3. Die Bezeichnung der Eingabe vom 30. Juni 2025 als Klage und die Aufforde- rung der Gegenseite zur Klageantwort lassen vermuten, dass der Vorsitzende des Regionalgerichts Landquart beabsichtigt, nach Eingang der Klageantwort der Be- schwerdeführer einen weiteren Schriftenwechsel (Replik, Duplik) zu Stufe 2 durch- zuführen. Bei dieser Verfahrensgestaltung und Beachtlichkeit der gesamten Ein- gabe vom 30. Juni 2025 würde dem Beschwerdegegner faktisch (rückwirkend) drei- mal (Klage vom 9. Juli 2020, Eingabe vom 30. Juni 2025, Replik) und den Be- schwerdeführern zweimal (Klageantwort, Duplik) unbeschränkt die Möglichkeit ge- geben, sich zur Stufe 2 zu äussern. Ein solch asymmetrischer Schriftenwechsel stellt einen rechtlichen Nachteil dar. 1.4.4. Der Umstand, dass die Klägerseite dreimal die Möglichkeit erhalten würde, sich unbeschränkt zu äussern, erweitert das Verfahren um eine weitere Rechts- schrift, auf die wiederum die Möglichkeit der Replik eingeräumt werden müsste. Dies verlängert das Verfahren im Vergleich zu einem Verfahren mit bloss doppeltem Schriftenwechsel. Zudem ist die Ausfertigung einer Klageantwort zur Klage vom</w:t>
      </w:r>
    </w:p>
    <w:p>
      <w:r>
        <w:rPr>
          <w:b/>
        </w:rPr>
        <w:t>E. 9</w:t>
      </w:r>
    </w:p>
    <w:p>
      <w:r>
        <w:t>/ 11 Klageantwort jedoch nur einmal zu Stufe 2 äussern können. Sie würden mit diesem Vorgehen rückwirkend einer zweiten Äusserungsmöglichkeit beraubt und der Schriftenwechsel wäre weiterhin asymmetrisch und der rechtliche Nachteil damit nicht behoben bzw. wiedergutgemacht. Würde bei diesem Szenario die (effektive) Duplik der Beschwerdeführer als zweite unbeschränkte Äusserungsmöglichkeit der Beklagtenseite zugelassen, so würde diese auf eine als Noveneingabe zu behan- delnde und nur noch unter den Voraussetzungen von Art. 229 ZPO zuzulassende (effektive) Replik des Beschwerdegegners folgen. Dass auf eine novenrechtlich be- schränkte Eingabe ein unbeschränkter Sachvortrag folgt, widerspricht offensichtlich der gesetzlichen Konzeption des doppelten Schriftenwechsels. Die Asymmetrie lässt sich daher auch auf diesem Wege nicht rückwirkend beheben. Ein Abstützen auf die Behauptungen, die bis zum "korrekten Zeitpunkt des Aktenschlusses" auf- gestellt worden seien, scheidet aus. 1.4.7. Die Beschwerdeführer wenden ein, dass einer unzulässigen Eingabe we- sensgemäss keine ordnungsgemässe Klageantwort und Duplik folgen bzw. diesen auch keine Bedeutung zukommen könne. Den Parteien steht es in der Klageant- wort, Replik und Duplik jedoch grundsätzlich frei, sich unbeschränkt zu äussern, ohne thematische Ausschlüsse, die von einer unzulässigen Eingabe abgesteckt werden. Entsprechend wären eine Klageantwort, Replik und Duplik auch hinsicht- lich der auf die unzulässige Eingabe replizierenden Ausführungen zuzulassen. Ent- sprechend könnten im End- oder Rechtsmittelentscheid die Eingabe vom 30. Juni 2025 oder die Teile der Eingabe, die über die Bezifferung hinausgehen, für unbe- achtlich erklärt und dem Entscheid die Klage vom 9. Juli 2020, die Eingabe vom 30. Juni 2025 beschränkt auf die Bezifferung, die Klageantwort, Replik und Duplik zugrunde gelegt werden. Damit würde der Entscheid auf einem symmetrischen Schriftenwechsel basieren und der rechtliche Nachteil wäre leicht wiedergutge- macht. 1.4.8. Der für diese Ausführungen zusätzlich anfallende zeitliche und finanzielle Aufwand, stellt keinen erheblichen Nachteil dar. Er unterscheidet sich nicht von Stel- lungnahmen zu unzulässigen (verspäteten) oder nicht rechtserheblichen Aus- führungen. Allenfalls können die unnötigen Kosten dem Beschwerdegegner aufer- legt werden, gestützt darauf, dass der Vorsitzende des Regionalgerichts Landquart den Beschwerdegegner mit Verfügung vom 29. April 2025 zur Bezifferung und nicht zu einem Parteivortrag (Klage, Replik) aufforderte. 1.4.9. Da sich der geltend gemachte rechtliche Nachteil leicht wiedergutmachen lässt (E. 1.4.7) und die geltend gemachten tatsächlichen Nachteile nicht die erheb-</w:t>
      </w:r>
    </w:p>
    <w:p>
      <w:r>
        <w:rPr>
          <w:b/>
        </w:rPr>
        <w:t>E. 10</w:t>
      </w:r>
    </w:p>
    <w:p>
      <w:r>
        <w:t>/ 11 liche Intensität aufweisen (E. 1.4.8), fehlt eine Sachurteilsvoraussetzung der Be- schwerde. Auf die Beschwerde ist deshalb nicht einzutreten. 2. Mit dem begründeten Entscheid in der Sache werden die Anträge betreffend Erteilung bzw. Entzug der aufschiebenden Wirkung gegenstandslos. Angesichts der abgenommenen Frist zur Klageantwort wird nach Eintritt der Rechtskraft des vorlie- genden Entscheids vom Vorsitzenden des Regionalgerichts Landquart den Be- schwerdeführern eine neue Frist zur Klageantwort anzusetzen sein. 3.1. Die Prozesskosten gehen dem Verfahrensausgang entsprechend zulasten der Beschwerdeführer (Art. 106 ZPO). 3.2. Die Entscheidgebühr ist auf CHF 1'000.00 festzusetzen und den Beschwer- deführern solidarisch aufzuerlegen (Art. 12 Abs. 1 VGZ [BR 320.210]). Sie ist mit dem von ihnen in derselben Höhe geleisteten Kostenvorschuss zu verrechnen. 3.3. Mangels Honorarnote ist der Aufwand des Rechtsvertreters des Beschwer- degegners zu schätzen (Art. 2 HV [BR 310.250]). Angesichts der aufgeworfenen Sach- und Rechtsfragen sowie des damit verbundenen Aufwands erscheint eine Entschädigung von pauschal CHF 3'000.00 (inkl. Barauslagen und Mehrwertsteuer) als angemessen. Sie ist den Beschwerdeführern solidarisch aufzuerlegen.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